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4E02470B"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9D3EA9">
        <w:rPr>
          <w:rFonts w:ascii="Century" w:hAnsi="Century"/>
          <w:b/>
        </w:rPr>
        <w:t>8</w:t>
      </w:r>
      <w:r w:rsidR="00D67159">
        <w:rPr>
          <w:rFonts w:ascii="Century" w:hAnsi="Century"/>
          <w:b/>
        </w:rPr>
        <w:t>8</w:t>
      </w:r>
      <w:r w:rsidR="00AD6931">
        <w:rPr>
          <w:rFonts w:ascii="Century" w:hAnsi="Century"/>
          <w:b/>
        </w:rPr>
        <w:t>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96554D">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FE41CE">
        <w:rPr>
          <w:rFonts w:ascii="Century" w:hAnsi="Century"/>
        </w:rPr>
        <w:t>-</w:t>
      </w:r>
      <w:r w:rsidR="0070445B">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56B413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1187D">
        <w:rPr>
          <w:rFonts w:ascii="Century" w:hAnsi="Century"/>
        </w:rPr>
        <w:t>28 veintiocho</w:t>
      </w:r>
      <w:r w:rsidR="009C677C">
        <w:rPr>
          <w:rFonts w:ascii="Century" w:hAnsi="Century"/>
        </w:rPr>
        <w:t xml:space="preserve"> de mayo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41187D">
        <w:rPr>
          <w:rFonts w:ascii="Century" w:hAnsi="Century"/>
          <w:b/>
        </w:rPr>
        <w:t>5810826 (Letra T cinco ocho uno cero ocho dos seis</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41187D">
        <w:rPr>
          <w:rFonts w:ascii="Century" w:hAnsi="Century"/>
        </w:rPr>
        <w:t>19 diecinueve</w:t>
      </w:r>
      <w:r w:rsidR="00F63170">
        <w:rPr>
          <w:rFonts w:ascii="Century" w:hAnsi="Century"/>
        </w:rPr>
        <w:t xml:space="preserve"> de abril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211DA8A"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1187D">
        <w:rPr>
          <w:rFonts w:ascii="Century" w:hAnsi="Century"/>
        </w:rPr>
        <w:t>30 treinta</w:t>
      </w:r>
      <w:r w:rsidR="009C677C">
        <w:rPr>
          <w:rFonts w:ascii="Century" w:hAnsi="Century"/>
        </w:rPr>
        <w:t xml:space="preserve"> </w:t>
      </w:r>
      <w:r w:rsidR="009D3EA9">
        <w:rPr>
          <w:rFonts w:ascii="Century" w:hAnsi="Century"/>
        </w:rPr>
        <w:t>de mayo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1F9E043" w14:textId="0684BBE1" w:rsidR="0070445B" w:rsidRDefault="0070445B" w:rsidP="00E1257C">
      <w:pPr>
        <w:spacing w:line="360" w:lineRule="auto"/>
        <w:ind w:firstLine="709"/>
        <w:jc w:val="both"/>
        <w:rPr>
          <w:rFonts w:ascii="Century" w:hAnsi="Century"/>
        </w:rPr>
      </w:pPr>
    </w:p>
    <w:p w14:paraId="2D28630F" w14:textId="664023F9" w:rsidR="0070445B" w:rsidRDefault="0070445B" w:rsidP="00E1257C">
      <w:pPr>
        <w:spacing w:line="360" w:lineRule="auto"/>
        <w:ind w:firstLine="709"/>
        <w:jc w:val="both"/>
        <w:rPr>
          <w:rFonts w:ascii="Century" w:hAnsi="Century"/>
        </w:rPr>
      </w:pPr>
      <w:r>
        <w:rPr>
          <w:rFonts w:ascii="Century" w:hAnsi="Century"/>
        </w:rPr>
        <w:t xml:space="preserve">Respecto a la SUSPENSIÓN del acto impugnado, solicitada por la parte actora, se concede para el efecto de que se mantengan las cosas en el estado en que se encuentran, por lo que la demandada deberá solicitar a la Tesorería Municipal de León, Guanajuato, se abstenga de iniciar el Procedimiento Administrativo de Ejecución, hasta en tanto se dicte la resolución definitiva en la presente causa administrativa, o en su caso, ya hubiera iniciado, se abstenga </w:t>
      </w:r>
      <w:r>
        <w:rPr>
          <w:rFonts w:ascii="Century" w:hAnsi="Century"/>
        </w:rPr>
        <w:lastRenderedPageBreak/>
        <w:t>de continuar con el mismo. De igual manera se concede también para el efecto de que las autoridades de Tránsito y movilidad municipales del León, Guanajuato, no impongan multas por la falta de la tarjeta de circulación, que es el documento recogido en garantía. -----------------------------------------------------</w:t>
      </w:r>
    </w:p>
    <w:p w14:paraId="06EA69A7" w14:textId="7FDAF9C1" w:rsidR="00F24EB3" w:rsidRDefault="00F24EB3" w:rsidP="00E1257C">
      <w:pPr>
        <w:spacing w:line="360" w:lineRule="auto"/>
        <w:ind w:firstLine="709"/>
        <w:jc w:val="both"/>
        <w:rPr>
          <w:rFonts w:ascii="Century" w:hAnsi="Century"/>
        </w:rPr>
      </w:pPr>
    </w:p>
    <w:p w14:paraId="42BC1C17" w14:textId="2B7B19F8"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1187D">
        <w:rPr>
          <w:rFonts w:ascii="Century" w:hAnsi="Century"/>
        </w:rPr>
        <w:t>15 quinc</w:t>
      </w:r>
      <w:r w:rsidR="009C677C">
        <w:rPr>
          <w:rFonts w:ascii="Century" w:hAnsi="Century"/>
        </w:rPr>
        <w:t>e de junio</w:t>
      </w:r>
      <w:r w:rsidR="0070483D">
        <w:rPr>
          <w:rFonts w:ascii="Century" w:hAnsi="Century"/>
        </w:rPr>
        <w:t xml:space="preserve">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3C02782"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41187D">
        <w:rPr>
          <w:rFonts w:ascii="Century" w:hAnsi="Century"/>
        </w:rPr>
        <w:t>10 diez</w:t>
      </w:r>
      <w:r w:rsidR="009C677C">
        <w:rPr>
          <w:rFonts w:ascii="Century" w:hAnsi="Century"/>
        </w:rPr>
        <w:t xml:space="preserv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9C677C">
        <w:rPr>
          <w:rFonts w:ascii="Century" w:hAnsi="Century"/>
        </w:rPr>
        <w:t>3</w:t>
      </w:r>
      <w:r w:rsidR="006A7EB4">
        <w:rPr>
          <w:rFonts w:ascii="Century" w:hAnsi="Century"/>
        </w:rPr>
        <w:t>:</w:t>
      </w:r>
      <w:r w:rsidRPr="00E1257C">
        <w:rPr>
          <w:rFonts w:ascii="Century" w:hAnsi="Century"/>
        </w:rPr>
        <w:t xml:space="preserve">00 </w:t>
      </w:r>
      <w:r w:rsidR="009C677C">
        <w:rPr>
          <w:rFonts w:ascii="Century" w:hAnsi="Century"/>
        </w:rPr>
        <w:t>trece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r w:rsidR="0070483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D40F0BF"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41187D">
        <w:rPr>
          <w:rFonts w:ascii="Century" w:hAnsi="Century"/>
          <w:lang w:val="es-MX"/>
        </w:rPr>
        <w:t>19 diecinueve</w:t>
      </w:r>
      <w:r w:rsidR="00C52A15">
        <w:rPr>
          <w:rFonts w:ascii="Century" w:hAnsi="Century"/>
          <w:lang w:val="es-MX"/>
        </w:rPr>
        <w:t xml:space="preserve"> de abril del año 2018 dos mil dieciocho </w:t>
      </w:r>
      <w:r w:rsidRPr="00E1257C">
        <w:rPr>
          <w:rFonts w:ascii="Century" w:hAnsi="Century"/>
          <w:lang w:val="es-MX"/>
        </w:rPr>
        <w:t xml:space="preserve">y la demanda fue presentada el </w:t>
      </w:r>
      <w:r w:rsidR="0041187D">
        <w:rPr>
          <w:rFonts w:ascii="Century" w:hAnsi="Century"/>
          <w:lang w:val="es-MX"/>
        </w:rPr>
        <w:t>28 veintiocho</w:t>
      </w:r>
      <w:r w:rsidR="009C677C">
        <w:rPr>
          <w:rFonts w:ascii="Century" w:hAnsi="Century"/>
          <w:lang w:val="es-MX"/>
        </w:rPr>
        <w:t xml:space="preserve"> de mayo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4B0538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41187D">
        <w:rPr>
          <w:rFonts w:ascii="Century" w:hAnsi="Century"/>
        </w:rPr>
        <w:t>5810826 (Letra T cinco ocho uno cero ocho dos seis</w:t>
      </w:r>
      <w:r w:rsidRPr="00E1257C">
        <w:rPr>
          <w:rFonts w:ascii="Century" w:hAnsi="Century"/>
        </w:rPr>
        <w:t xml:space="preserve">), de fecha </w:t>
      </w:r>
      <w:r w:rsidR="0041187D">
        <w:rPr>
          <w:rFonts w:ascii="Century" w:hAnsi="Century"/>
        </w:rPr>
        <w:t>19 diecinueve</w:t>
      </w:r>
      <w:r w:rsidR="00C52A15">
        <w:rPr>
          <w:rFonts w:ascii="Century" w:hAnsi="Century"/>
        </w:rPr>
        <w:t xml:space="preserve"> de abril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6E3DE23D" w14:textId="42A7DF80"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571D30B9" w14:textId="77777777" w:rsidR="00BA3253" w:rsidRDefault="00BA3253" w:rsidP="00BA3253">
      <w:pPr>
        <w:spacing w:line="360" w:lineRule="auto"/>
        <w:ind w:firstLine="709"/>
        <w:jc w:val="both"/>
        <w:rPr>
          <w:rFonts w:ascii="Century" w:hAnsi="Century"/>
        </w:rPr>
      </w:pPr>
    </w:p>
    <w:p w14:paraId="0380C525" w14:textId="3BC377E7" w:rsidR="00A62D48" w:rsidRDefault="00BA3253" w:rsidP="00BA3253">
      <w:pPr>
        <w:pStyle w:val="RESOLUCIONES"/>
      </w:pPr>
      <w:r>
        <w:t xml:space="preserve">Causal de improcedencia que a juicio de quien resuelve NO SE ACTUALIZA, </w:t>
      </w:r>
      <w:r w:rsidR="00A62D48">
        <w:t>en principio, ya que no realiza razonamiento alguno para acreditar la existencia de dichas causales de improcedencia, por otro lado</w:t>
      </w:r>
      <w:r w:rsidR="00EE4BE5">
        <w:t>,</w:t>
      </w:r>
      <w:r w:rsidR="00A62D48">
        <w:t xml:space="preserve"> considerando lo que establecen los preceptos legales a que hace referencia la demandada</w:t>
      </w:r>
      <w:r w:rsidR="00163DAA">
        <w:t>,</w:t>
      </w:r>
      <w:r w:rsidR="00A62D48">
        <w:t xml:space="preserve"> siendo estos los siguientes:</w:t>
      </w:r>
      <w:r w:rsidR="00163DAA">
        <w:t xml:space="preserve"> ---------</w:t>
      </w:r>
      <w:r w:rsidR="006A7EB4">
        <w:t>--</w:t>
      </w:r>
      <w:r w:rsidR="00163DAA">
        <w:t>-----------------------------------------</w:t>
      </w:r>
    </w:p>
    <w:p w14:paraId="557A688E" w14:textId="77777777" w:rsidR="00A62D48" w:rsidRDefault="00A62D48" w:rsidP="00BA3253">
      <w:pPr>
        <w:pStyle w:val="RESOLUCIONES"/>
      </w:pPr>
    </w:p>
    <w:p w14:paraId="1999D81E" w14:textId="77777777" w:rsidR="00A62D48" w:rsidRPr="00B10044" w:rsidRDefault="00A62D48" w:rsidP="00A62D48">
      <w:pPr>
        <w:pStyle w:val="TESISYJURIS"/>
      </w:pPr>
      <w:r w:rsidRPr="00B10044">
        <w:rPr>
          <w:b/>
        </w:rPr>
        <w:t>Artículo 261.</w:t>
      </w:r>
      <w:r w:rsidRPr="00B10044">
        <w:t xml:space="preserve"> El proceso administrativo es improcedente contra actos o resoluciones:</w:t>
      </w:r>
    </w:p>
    <w:p w14:paraId="3E04C22A" w14:textId="77777777" w:rsidR="00A62D48" w:rsidRPr="00B10044" w:rsidRDefault="00A62D48" w:rsidP="00A62D48">
      <w:pPr>
        <w:pStyle w:val="TESISYJURIS"/>
      </w:pPr>
    </w:p>
    <w:p w14:paraId="57999D7C" w14:textId="10DFA6D6" w:rsidR="00A62D48" w:rsidRPr="00B10044" w:rsidRDefault="00A62D48" w:rsidP="00A62D48">
      <w:pPr>
        <w:pStyle w:val="TESISYJURIS"/>
        <w:numPr>
          <w:ilvl w:val="0"/>
          <w:numId w:val="23"/>
        </w:numPr>
        <w:rPr>
          <w:lang w:val="es-MX"/>
        </w:rPr>
      </w:pPr>
      <w:r w:rsidRPr="00B10044">
        <w:t>Que no afecten los intereses jurídicos del actor;</w:t>
      </w:r>
    </w:p>
    <w:p w14:paraId="3B3B867F" w14:textId="77777777" w:rsidR="00A62D48" w:rsidRPr="00B10044" w:rsidRDefault="00A62D48" w:rsidP="00A62D48">
      <w:pPr>
        <w:pStyle w:val="TESISYJURIS"/>
        <w:rPr>
          <w:lang w:val="es-MX"/>
        </w:rPr>
      </w:pPr>
    </w:p>
    <w:p w14:paraId="71208607" w14:textId="3FDE3246" w:rsidR="00A62D48" w:rsidRDefault="00A62D48" w:rsidP="00A62D48">
      <w:pPr>
        <w:pStyle w:val="TESISYJURIS"/>
        <w:rPr>
          <w:lang w:val="es-MX"/>
        </w:rPr>
      </w:pPr>
      <w:r>
        <w:rPr>
          <w:lang w:val="es-MX"/>
        </w:rPr>
        <w:t>….</w:t>
      </w:r>
    </w:p>
    <w:p w14:paraId="4A3B89A9" w14:textId="77777777" w:rsidR="00A62D48" w:rsidRDefault="00A62D48" w:rsidP="00A62D48">
      <w:pPr>
        <w:pStyle w:val="TESISYJURIS"/>
        <w:rPr>
          <w:lang w:val="es-MX"/>
        </w:rPr>
      </w:pPr>
    </w:p>
    <w:p w14:paraId="630615F5" w14:textId="141FD1DD" w:rsidR="00A62D48" w:rsidRPr="00A62D48" w:rsidRDefault="00A62D48" w:rsidP="00A62D48">
      <w:pPr>
        <w:pStyle w:val="TESISYJURIS"/>
        <w:rPr>
          <w:lang w:val="es-MX"/>
        </w:rPr>
      </w:pPr>
      <w:r>
        <w:t>VI Que</w:t>
      </w:r>
      <w:r w:rsidRPr="00A62D48">
        <w:t xml:space="preserve"> sean inexistentes, derivada claramente esta circunstancia de las constancias de autos; y</w:t>
      </w:r>
    </w:p>
    <w:p w14:paraId="7B8541F3" w14:textId="77777777" w:rsidR="00A62D48" w:rsidRPr="00B10044" w:rsidRDefault="00A62D48" w:rsidP="00A62D48">
      <w:pPr>
        <w:pStyle w:val="TESISYJURIS"/>
      </w:pPr>
    </w:p>
    <w:p w14:paraId="12443B10" w14:textId="77777777" w:rsidR="00A62D48" w:rsidRPr="00A62D48" w:rsidRDefault="00A62D48" w:rsidP="00A62D48">
      <w:pPr>
        <w:pStyle w:val="TESISYJURIS"/>
      </w:pPr>
      <w:r w:rsidRPr="00A62D48">
        <w:t>Artículo 262. En el proceso administrativo procede el sobreseimiento cuando:</w:t>
      </w:r>
    </w:p>
    <w:p w14:paraId="5E9A9F11" w14:textId="77777777" w:rsidR="00A62D48" w:rsidRPr="00A62D48" w:rsidRDefault="00A62D48" w:rsidP="00A62D48">
      <w:pPr>
        <w:pStyle w:val="TESISYJURIS"/>
      </w:pPr>
    </w:p>
    <w:p w14:paraId="2148F2C3" w14:textId="1A787EE5" w:rsidR="00A62D48" w:rsidRPr="00A62D48" w:rsidRDefault="00A62D48" w:rsidP="006A7EB4">
      <w:pPr>
        <w:pStyle w:val="TESISYJURIS"/>
        <w:numPr>
          <w:ilvl w:val="0"/>
          <w:numId w:val="23"/>
        </w:numPr>
      </w:pPr>
      <w:r w:rsidRPr="00A62D48">
        <w:t>Durante el proceso apareciere o sobreviniere alguna de las causas de improcedencia a que se refiere el artículo anterior;</w:t>
      </w:r>
    </w:p>
    <w:p w14:paraId="297F2D82" w14:textId="77777777" w:rsidR="00A62D48" w:rsidRPr="00A62D48" w:rsidRDefault="00A62D48" w:rsidP="00A62D48">
      <w:pPr>
        <w:pStyle w:val="TESISYJURIS"/>
        <w:rPr>
          <w:lang w:val="es-MX"/>
        </w:rPr>
      </w:pPr>
    </w:p>
    <w:p w14:paraId="66603512" w14:textId="77777777" w:rsidR="00A62D48" w:rsidRDefault="00A62D48" w:rsidP="00BA3253">
      <w:pPr>
        <w:pStyle w:val="RESOLUCIONES"/>
      </w:pPr>
    </w:p>
    <w:p w14:paraId="71EE5CBC" w14:textId="14316979" w:rsidR="00A62D48" w:rsidRDefault="006A7EB4" w:rsidP="00BA3253">
      <w:pPr>
        <w:pStyle w:val="RESOLUCIONES"/>
      </w:pPr>
      <w:r>
        <w:t>Luego entonces</w:t>
      </w:r>
      <w:r w:rsidR="00A62D48">
        <w:t xml:space="preserve">, </w:t>
      </w:r>
      <w:r>
        <w:t xml:space="preserve">es de considerar que </w:t>
      </w:r>
      <w:r w:rsidR="00A62D48">
        <w:t xml:space="preserve">el actor acredito contar con interés jurídico en la presente causa, ya que acude a impugnar el acta de infracción número de folio </w:t>
      </w:r>
      <w:r w:rsidR="009D3EA9">
        <w:t xml:space="preserve">T </w:t>
      </w:r>
      <w:r w:rsidR="0041187D">
        <w:t>5810826 (Letra T cinco ocho uno cero ocho dos seis</w:t>
      </w:r>
      <w:r w:rsidR="00A62D48">
        <w:t xml:space="preserve">), de la cual se desprende que, para garantizar el pago de la referida infracción, le fue retenida en garantía </w:t>
      </w:r>
      <w:r>
        <w:t>la tarjeta de circulación vehicular</w:t>
      </w:r>
      <w:r w:rsidR="00A62D48">
        <w:t>, por lo que sin duda, dicho acto lesiona sus intereses jurídicos</w:t>
      </w:r>
      <w:r>
        <w:t>;</w:t>
      </w:r>
      <w:r w:rsidR="00A62D48">
        <w:t xml:space="preserve"> a</w:t>
      </w:r>
      <w:r>
        <w:t xml:space="preserve">sí mismo, también es de considerar que </w:t>
      </w:r>
      <w:r w:rsidR="00A62D48">
        <w:t>el solo hecho de que el folio de infracción es expedido a su nombre, le otorga interés jurídico para acudir a intentar el presente juicio de nulidad. -------------</w:t>
      </w:r>
    </w:p>
    <w:p w14:paraId="6CA176F9" w14:textId="77777777" w:rsidR="00EE4BE5" w:rsidRDefault="00EE4BE5" w:rsidP="00BA3253">
      <w:pPr>
        <w:pStyle w:val="RESOLUCIONES"/>
      </w:pPr>
    </w:p>
    <w:p w14:paraId="6992C264" w14:textId="393BB816" w:rsidR="00A62D48" w:rsidRDefault="00A62D48" w:rsidP="00BA3253">
      <w:pPr>
        <w:pStyle w:val="RESOLUCIONES"/>
      </w:pPr>
      <w:r>
        <w:t xml:space="preserve">Por otro lado, respecto a la causal de improcedencia prevista en la fracción VI, </w:t>
      </w:r>
      <w:r w:rsidR="00315898">
        <w:t xml:space="preserve">relativa a los actos inexistentes, no se actualiza, ya que, en el sumario, de manera específica en el considerando tercero de la presente resolución, quedo acreditado la existencia del acto impugnado, consistente en el acta de infracción </w:t>
      </w:r>
      <w:r w:rsidR="009D3EA9">
        <w:t xml:space="preserve">T </w:t>
      </w:r>
      <w:r w:rsidR="0041187D">
        <w:t>5810826 (Letra T cinco ocho uno cero ocho dos seis</w:t>
      </w:r>
      <w:r w:rsidR="00315898" w:rsidRPr="00315898">
        <w:t>)</w:t>
      </w:r>
      <w:r w:rsidR="00315898">
        <w:t xml:space="preserve">, de fecha </w:t>
      </w:r>
      <w:r w:rsidR="0041187D">
        <w:t>19 diecinueve</w:t>
      </w:r>
      <w:r w:rsidR="00315898">
        <w:t xml:space="preserve"> de abril del año 2018 dos mil dieciocho. -----------------------</w:t>
      </w:r>
    </w:p>
    <w:p w14:paraId="2C3F69BF" w14:textId="77777777" w:rsidR="00A62D48" w:rsidRDefault="00A62D48" w:rsidP="00BA3253">
      <w:pPr>
        <w:pStyle w:val="RESOLUCIONES"/>
      </w:pPr>
    </w:p>
    <w:p w14:paraId="3B248068" w14:textId="78C86D8B" w:rsidR="00BA3253" w:rsidRPr="00E1257C" w:rsidRDefault="00BA3253" w:rsidP="00BA3253">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7BEA77A5"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41187D">
        <w:rPr>
          <w:rFonts w:ascii="Century" w:hAnsi="Century"/>
        </w:rPr>
        <w:t>19 diecinueve</w:t>
      </w:r>
      <w:r w:rsidR="008D125E">
        <w:rPr>
          <w:rFonts w:ascii="Century" w:hAnsi="Century"/>
        </w:rPr>
        <w:t xml:space="preserve"> de abril del año 2018 dos mil dieciocho, </w:t>
      </w:r>
      <w:r w:rsidR="00631FC3">
        <w:rPr>
          <w:rFonts w:ascii="Century" w:hAnsi="Century"/>
        </w:rPr>
        <w:t>l</w:t>
      </w:r>
      <w:r w:rsidR="008D125E">
        <w:rPr>
          <w:rFonts w:ascii="Century" w:hAnsi="Century"/>
        </w:rPr>
        <w:t>a agente de tránsito demandada</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96554D">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 xml:space="preserve">T </w:t>
      </w:r>
      <w:r w:rsidR="0041187D">
        <w:rPr>
          <w:rFonts w:ascii="Century" w:hAnsi="Century"/>
          <w:b/>
        </w:rPr>
        <w:t>5810826 (Letra T cinco ocho uno cero ocho dos seis</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p>
    <w:p w14:paraId="056175DE" w14:textId="77777777" w:rsidR="00681A81" w:rsidRDefault="00681A81" w:rsidP="00E1257C">
      <w:pPr>
        <w:spacing w:line="360" w:lineRule="auto"/>
        <w:ind w:firstLine="709"/>
        <w:jc w:val="both"/>
        <w:rPr>
          <w:rFonts w:ascii="Century" w:hAnsi="Century"/>
        </w:rPr>
      </w:pPr>
    </w:p>
    <w:p w14:paraId="24C3010E" w14:textId="1443AEDE"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 xml:space="preserve">T </w:t>
      </w:r>
      <w:r w:rsidR="0041187D">
        <w:rPr>
          <w:b/>
        </w:rPr>
        <w:t>5810826 (Letra T cinco ocho uno cero ocho dos seis</w:t>
      </w:r>
      <w:r w:rsidR="008D125E" w:rsidRPr="00E1257C">
        <w:rPr>
          <w:b/>
        </w:rPr>
        <w:t xml:space="preserve">) </w:t>
      </w:r>
      <w:r w:rsidR="008D125E">
        <w:t>levanta</w:t>
      </w:r>
      <w:r w:rsidR="004021E7">
        <w:t>da</w:t>
      </w:r>
      <w:r w:rsidR="008D125E">
        <w:t xml:space="preserve"> en fecha </w:t>
      </w:r>
      <w:r w:rsidR="0041187D">
        <w:t>19 diecinueve</w:t>
      </w:r>
      <w:r w:rsidR="008D125E">
        <w:t xml:space="preserve"> de abril del año </w:t>
      </w:r>
      <w:r w:rsidR="008D125E" w:rsidRPr="00E1257C">
        <w:t>del año 201</w:t>
      </w:r>
      <w:r w:rsidR="008D125E">
        <w:t xml:space="preserve">8 dos mil dieciocho. </w:t>
      </w:r>
      <w:r w:rsidR="00681A81">
        <w:t>----</w:t>
      </w:r>
      <w:r w:rsidR="00206C95">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7E66534D"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resultando escueta por parte de la autoridad demandada, en el sentido de que la misma no señala con precisión las circunstancias especiales, razones particulares y causas inmediatas que se hayan tenido en consideración para la emisión del acto; </w:t>
      </w:r>
      <w:r w:rsidR="00DE7365">
        <w:rPr>
          <w:rFonts w:ascii="Century" w:hAnsi="Century"/>
          <w:i/>
          <w:sz w:val="20"/>
        </w:rPr>
        <w:t xml:space="preserve">es decir, </w:t>
      </w:r>
      <w:r w:rsidR="00870F95">
        <w:rPr>
          <w:rFonts w:ascii="Century" w:hAnsi="Century"/>
          <w:i/>
          <w:sz w:val="20"/>
        </w:rPr>
        <w:t xml:space="preserve">omite señalar la forma o la manera en la que se percató de la infracción que me imputa, el lugar donde se encontraba la demandada o si circulaba a bordo de la unidad </w:t>
      </w:r>
      <w:r w:rsidR="00DE7365">
        <w:rPr>
          <w:rFonts w:ascii="Century" w:hAnsi="Century"/>
          <w:i/>
          <w:sz w:val="20"/>
        </w:rPr>
        <w:t xml:space="preserve"> </w:t>
      </w:r>
      <w:r w:rsidR="005A60A9" w:rsidRPr="005A60A9">
        <w:rPr>
          <w:rFonts w:ascii="Century" w:hAnsi="Century"/>
          <w:i/>
          <w:sz w:val="20"/>
        </w:rPr>
        <w:t>[…]</w:t>
      </w:r>
      <w:r w:rsidR="005A60A9">
        <w:rPr>
          <w:rFonts w:ascii="Century" w:hAnsi="Century"/>
          <w:i/>
          <w:sz w:val="20"/>
        </w:rPr>
        <w:t xml:space="preserve"> </w:t>
      </w:r>
      <w:r w:rsidR="00DE7365">
        <w:rPr>
          <w:rFonts w:ascii="Century" w:hAnsi="Century"/>
          <w:i/>
          <w:sz w:val="20"/>
        </w:rPr>
        <w:t>no se expusieron bastantes razonamientos y fundamentos que permitan acreditar la infracción</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4AEAF007" w:rsidR="00BA229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5A60A9">
        <w:rPr>
          <w:rFonts w:ascii="Century" w:hAnsi="Century"/>
        </w:rPr>
        <w:t xml:space="preserve">la actora no acredita no haber incurrido, sino que únicamente niega los hechos, por lo que sus conceptos de impugnación deben ser declararos </w:t>
      </w:r>
      <w:r>
        <w:rPr>
          <w:rFonts w:ascii="Century" w:hAnsi="Century"/>
        </w:rPr>
        <w:t xml:space="preserve">infundados, inoperantes e insuficientes, ya que el acta de infracción, sí contiene los fundamentos legales, </w:t>
      </w:r>
      <w:r w:rsidR="00DE7365">
        <w:rPr>
          <w:rFonts w:ascii="Century" w:hAnsi="Century"/>
        </w:rPr>
        <w:t>así como que está debidamente motivada</w:t>
      </w:r>
      <w:r>
        <w:rPr>
          <w:rFonts w:ascii="Century" w:hAnsi="Century"/>
        </w:rPr>
        <w:t>. -</w:t>
      </w:r>
      <w:r w:rsidR="00DE7365">
        <w:rPr>
          <w:rFonts w:ascii="Century" w:hAnsi="Century"/>
        </w:rPr>
        <w:t>---------------------</w:t>
      </w:r>
      <w:r>
        <w:rPr>
          <w:rFonts w:ascii="Century" w:hAnsi="Century"/>
        </w:rPr>
        <w:t>----</w:t>
      </w:r>
      <w:r w:rsidR="005A60A9">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2BD7EA7B" w:rsidR="005A60A9" w:rsidRPr="005A60A9"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xml:space="preserve">… </w:t>
      </w:r>
      <w:r w:rsidR="00870F95">
        <w:rPr>
          <w:bCs/>
          <w:i/>
        </w:rPr>
        <w:t>por no respetar la luz roja del semáforo … se detecta al vehículo antes mencionado circulando sobre el Blvd. Delta y al mover (sic) al cruce en el Blvd Valtierra no respeta la luz roja del semáforo</w:t>
      </w:r>
      <w:r w:rsidR="00DE7365">
        <w:rPr>
          <w:bCs/>
          <w:i/>
        </w:rPr>
        <w:t xml:space="preserve"> …</w:t>
      </w:r>
      <w:r w:rsidR="005A60A9" w:rsidRPr="005A60A9">
        <w:rPr>
          <w:bCs/>
          <w:i/>
        </w:rPr>
        <w:t>”</w:t>
      </w:r>
      <w:r w:rsidR="004021E7">
        <w:rPr>
          <w:bCs/>
          <w:i/>
        </w:rPr>
        <w:t xml:space="preserve">. </w:t>
      </w:r>
    </w:p>
    <w:p w14:paraId="6063F4DA" w14:textId="77777777" w:rsidR="00ED14E0" w:rsidRDefault="00ED14E0" w:rsidP="00ED14E0">
      <w:pPr>
        <w:pStyle w:val="SENTENCIAS"/>
        <w:ind w:firstLine="0"/>
        <w:rPr>
          <w:bCs/>
        </w:rPr>
      </w:pPr>
    </w:p>
    <w:p w14:paraId="0A3B33BC" w14:textId="07AE1EA4" w:rsidR="00881A7B" w:rsidRDefault="00ED14E0" w:rsidP="00ED14E0">
      <w:pPr>
        <w:pStyle w:val="SENTENCIAS"/>
      </w:pPr>
      <w:r>
        <w:t xml:space="preserve">Sin embargo, </w:t>
      </w:r>
      <w:r w:rsidR="00764E22">
        <w:t>e</w:t>
      </w:r>
      <w:r w:rsidR="0015595F" w:rsidRPr="0015595F">
        <w:t>l agente de tránsito no aportó prueba alguna que acreditará la supuesta conducta consignada en el acta</w:t>
      </w:r>
      <w:r w:rsidR="00BD5126">
        <w:t xml:space="preserve">, es decir, no reúne elementos que nos lleven a considerar que efectivamente el </w:t>
      </w:r>
      <w:r w:rsidR="00881A7B" w:rsidRPr="00881A7B">
        <w:t xml:space="preserve">promovente </w:t>
      </w:r>
      <w:r w:rsidR="00DE7365">
        <w:t>al conducir el veh</w:t>
      </w:r>
      <w:r w:rsidR="00BD5126">
        <w:t xml:space="preserve">ículo no </w:t>
      </w:r>
      <w:r w:rsidR="00870F95">
        <w:t>respeto la luz roja del semáforo</w:t>
      </w:r>
      <w:r w:rsidR="00881A7B" w:rsidRPr="00881A7B">
        <w:t xml:space="preserve">, </w:t>
      </w:r>
      <w:r w:rsidR="00BD5126">
        <w:t xml:space="preserve">lo que </w:t>
      </w:r>
      <w:r w:rsidR="00881A7B" w:rsidRPr="00881A7B">
        <w:t xml:space="preserve">resulta especialmente relevante </w:t>
      </w:r>
      <w:r w:rsidR="00BD5126">
        <w:t xml:space="preserve">en el sentido de </w:t>
      </w:r>
      <w:r w:rsidR="00881A7B" w:rsidRPr="00881A7B">
        <w:t xml:space="preserve">que el </w:t>
      </w:r>
      <w:r w:rsidR="00E96B06" w:rsidRPr="00881A7B">
        <w:t xml:space="preserve">agente de tránsito </w:t>
      </w:r>
      <w:r w:rsidR="00881A7B" w:rsidRPr="00881A7B">
        <w:t xml:space="preserve">pormenorizadamente </w:t>
      </w:r>
      <w:r w:rsidR="00870F95">
        <w:t xml:space="preserve">debe </w:t>
      </w:r>
      <w:r w:rsidR="00881A7B" w:rsidRPr="00881A7B">
        <w:t>expresar cómo detectó</w:t>
      </w:r>
      <w:r w:rsidR="00881A7B">
        <w:t xml:space="preserve"> que el vehículo conducido por el</w:t>
      </w:r>
      <w:r w:rsidR="00881A7B" w:rsidRPr="00881A7B">
        <w:t xml:space="preserve"> justici</w:t>
      </w:r>
      <w:r w:rsidR="00881A7B">
        <w:t xml:space="preserve">able </w:t>
      </w:r>
      <w:r w:rsidR="00870F95">
        <w:t xml:space="preserve">no respeto la luz roja, </w:t>
      </w:r>
      <w:r w:rsidR="00E96B06">
        <w:t>p</w:t>
      </w:r>
      <w:r w:rsidR="00881A7B" w:rsidRPr="00881A7B">
        <w:t>ues no precisó exactame</w:t>
      </w:r>
      <w:r w:rsidR="00BD5126">
        <w:t xml:space="preserve">nte </w:t>
      </w:r>
      <w:r w:rsidR="00870F95">
        <w:t xml:space="preserve">sobre que carril circulaba, si del boulevard Delta o Valtierra, </w:t>
      </w:r>
      <w:r w:rsidR="00BD5126">
        <w:t>de qu</w:t>
      </w:r>
      <w:r w:rsidR="00870F95">
        <w:t>é manera se percató que no respeto la luz roja del semáforo</w:t>
      </w:r>
      <w:r w:rsidR="00764E22">
        <w:t xml:space="preserve">, ya que solo se limitó a referir </w:t>
      </w:r>
      <w:r w:rsidR="00870F95">
        <w:t xml:space="preserve">el boulevard Delta y Valtierra, si acreditar que efectivamente el semáforo que supuestamente estaba en rojo fue el que no respeto el actor. </w:t>
      </w:r>
      <w:r w:rsidR="00764E22">
        <w:t>------------------------</w:t>
      </w:r>
    </w:p>
    <w:p w14:paraId="1032E44C" w14:textId="3EABC0D2" w:rsidR="00881A7B" w:rsidRDefault="00881A7B" w:rsidP="00881A7B">
      <w:pPr>
        <w:pStyle w:val="SENTENCIAS"/>
        <w:rPr>
          <w:bCs/>
        </w:rPr>
      </w:pPr>
    </w:p>
    <w:p w14:paraId="13827F2E" w14:textId="61DAA0D6" w:rsidR="00ED14E0" w:rsidRDefault="00881A7B" w:rsidP="00881A7B">
      <w:pPr>
        <w:pStyle w:val="SENTENCIAS"/>
      </w:pPr>
      <w:r>
        <w:rPr>
          <w:bCs/>
        </w:rPr>
        <w:t xml:space="preserve">Aunado a lo anterior, </w:t>
      </w:r>
      <w:r w:rsidR="00870F95">
        <w:rPr>
          <w:bCs/>
        </w:rPr>
        <w:t>dentro de la presente causa administrativa no</w:t>
      </w:r>
      <w:r w:rsidR="00764E22">
        <w:rPr>
          <w:bCs/>
        </w:rPr>
        <w:t xml:space="preserve"> se desprende</w:t>
      </w:r>
      <w:r w:rsidR="00870F95">
        <w:rPr>
          <w:bCs/>
        </w:rPr>
        <w:t>n</w:t>
      </w:r>
      <w:r w:rsidR="00764E22">
        <w:rPr>
          <w:bCs/>
        </w:rPr>
        <w:t xml:space="preserve"> </w:t>
      </w:r>
      <w:r>
        <w:t>los medios necesarios para acreditar</w:t>
      </w:r>
      <w:r w:rsidR="00604B07">
        <w:t xml:space="preserve"> que el justicible no respeto la luz roja del semáforo,</w:t>
      </w:r>
      <w:r w:rsidR="000916B1">
        <w:t xml:space="preserve"> </w:t>
      </w:r>
      <w:r w:rsidR="00604B07">
        <w:t xml:space="preserve"> y que por ello no detuvo su vehículo en la línea de alto, además, no delimitar hasta donde quebrando la norma, ya que no precisa si también invade la zona para el cruce de peatones; </w:t>
      </w:r>
      <w:r w:rsidR="000916B1" w:rsidRPr="000916B1">
        <w:t>l</w:t>
      </w:r>
      <w:r w:rsidRPr="000916B1">
        <w:t xml:space="preserve">o anterior, </w:t>
      </w:r>
      <w:r w:rsidR="00ED14E0" w:rsidRPr="000916B1">
        <w:t xml:space="preserve">considerando lo </w:t>
      </w:r>
      <w:r w:rsidR="000916B1" w:rsidRPr="000916B1">
        <w:t>dispuesto</w:t>
      </w:r>
      <w:r w:rsidR="00ED14E0" w:rsidRPr="000916B1">
        <w:t xml:space="preserve"> por el artículo </w:t>
      </w:r>
      <w:r w:rsidR="000916B1" w:rsidRPr="000916B1">
        <w:t>1</w:t>
      </w:r>
      <w:r w:rsidR="00604B07">
        <w:t>2</w:t>
      </w:r>
      <w:r w:rsidR="000916B1" w:rsidRPr="000916B1">
        <w:t xml:space="preserve"> fracción</w:t>
      </w:r>
      <w:r w:rsidR="00604B07">
        <w:t xml:space="preserve"> II</w:t>
      </w:r>
      <w:r w:rsidR="00ED14E0" w:rsidRPr="000916B1">
        <w:t xml:space="preserve"> del Reglamento de Tránsito Municipal</w:t>
      </w:r>
      <w:r w:rsidR="00ED14E0">
        <w:t xml:space="preserve"> de León, Guanajuato</w:t>
      </w:r>
      <w:r w:rsidR="00604B07">
        <w:t>,</w:t>
      </w:r>
      <w:r w:rsidR="00ED14E0">
        <w:t xml:space="preserve"> que </w:t>
      </w:r>
      <w:r w:rsidR="004021E7">
        <w:t>dispone</w:t>
      </w:r>
      <w:r w:rsidR="00ED14E0">
        <w:t>:</w:t>
      </w:r>
      <w:r w:rsidR="004021E7">
        <w:t xml:space="preserve"> -------</w:t>
      </w:r>
      <w:r w:rsidR="00604B07">
        <w:t>------------------------------------------------</w:t>
      </w:r>
      <w:r w:rsidR="004021E7">
        <w:t>----</w:t>
      </w:r>
    </w:p>
    <w:p w14:paraId="1623201A" w14:textId="77777777" w:rsidR="00A01625" w:rsidRDefault="00A01625" w:rsidP="00881A7B">
      <w:pPr>
        <w:pStyle w:val="SENTENCIAS"/>
      </w:pPr>
    </w:p>
    <w:p w14:paraId="6548985B" w14:textId="77777777" w:rsidR="00604B07" w:rsidRPr="00604B07" w:rsidRDefault="00604B07" w:rsidP="00604B07">
      <w:pPr>
        <w:autoSpaceDE w:val="0"/>
        <w:autoSpaceDN w:val="0"/>
        <w:adjustRightInd w:val="0"/>
        <w:ind w:left="708"/>
        <w:jc w:val="both"/>
        <w:rPr>
          <w:rFonts w:ascii="Century" w:hAnsi="Century" w:cs="Arial"/>
          <w:i/>
        </w:rPr>
      </w:pPr>
      <w:r w:rsidRPr="00604B07">
        <w:rPr>
          <w:rFonts w:ascii="Century" w:hAnsi="Century" w:cs="Arial"/>
          <w:b/>
          <w:i/>
        </w:rPr>
        <w:t>Artículo 12.-</w:t>
      </w:r>
      <w:r w:rsidRPr="00604B07">
        <w:rPr>
          <w:rFonts w:ascii="Century" w:hAnsi="Century" w:cs="Arial"/>
          <w:i/>
        </w:rPr>
        <w:t xml:space="preserve"> Para las preferencias de paso en los cruceros, el conductor se ajustará a la señalización establecida y a las siguientes reglas:</w:t>
      </w:r>
    </w:p>
    <w:p w14:paraId="2D09C276" w14:textId="77777777" w:rsidR="00604B07" w:rsidRPr="00604B07" w:rsidRDefault="00604B07" w:rsidP="00604B07">
      <w:pPr>
        <w:autoSpaceDE w:val="0"/>
        <w:autoSpaceDN w:val="0"/>
        <w:adjustRightInd w:val="0"/>
        <w:ind w:left="708"/>
        <w:jc w:val="both"/>
        <w:rPr>
          <w:rFonts w:ascii="Century" w:hAnsi="Century" w:cs="Arial"/>
          <w:i/>
        </w:rPr>
      </w:pPr>
    </w:p>
    <w:p w14:paraId="6A75F5D1" w14:textId="0E5CDF04" w:rsidR="00604B07" w:rsidRPr="00604B07" w:rsidRDefault="00604B07" w:rsidP="00604B07">
      <w:pPr>
        <w:autoSpaceDE w:val="0"/>
        <w:autoSpaceDN w:val="0"/>
        <w:adjustRightInd w:val="0"/>
        <w:ind w:left="708"/>
        <w:jc w:val="both"/>
        <w:rPr>
          <w:rFonts w:ascii="Century" w:hAnsi="Century" w:cs="Arial"/>
          <w:i/>
        </w:rPr>
      </w:pPr>
      <w:r w:rsidRPr="00604B07">
        <w:rPr>
          <w:rFonts w:ascii="Century" w:hAnsi="Century" w:cs="Arial"/>
          <w:i/>
        </w:rPr>
        <w:t>…</w:t>
      </w:r>
    </w:p>
    <w:p w14:paraId="1BE44E48" w14:textId="77777777" w:rsidR="00604B07" w:rsidRPr="00604B07" w:rsidRDefault="00604B07" w:rsidP="00604B07">
      <w:pPr>
        <w:autoSpaceDE w:val="0"/>
        <w:autoSpaceDN w:val="0"/>
        <w:adjustRightInd w:val="0"/>
        <w:ind w:left="708"/>
        <w:jc w:val="both"/>
        <w:rPr>
          <w:rFonts w:ascii="Century" w:hAnsi="Century" w:cs="Arial"/>
          <w:i/>
        </w:rPr>
      </w:pPr>
    </w:p>
    <w:p w14:paraId="4A6441AB" w14:textId="76AE32FF" w:rsidR="00604B07" w:rsidRPr="00604B07" w:rsidRDefault="00604B07" w:rsidP="00604B07">
      <w:pPr>
        <w:pStyle w:val="Prrafodelista"/>
        <w:numPr>
          <w:ilvl w:val="0"/>
          <w:numId w:val="35"/>
        </w:numPr>
        <w:autoSpaceDE w:val="0"/>
        <w:autoSpaceDN w:val="0"/>
        <w:adjustRightInd w:val="0"/>
        <w:jc w:val="both"/>
        <w:rPr>
          <w:rFonts w:ascii="Century" w:hAnsi="Century" w:cs="Arial"/>
          <w:i/>
        </w:rPr>
      </w:pPr>
      <w:r w:rsidRPr="00604B07">
        <w:rPr>
          <w:rFonts w:ascii="Century" w:hAnsi="Century" w:cs="Arial"/>
          <w:i/>
        </w:rPr>
        <w:t>En los cruceros regulados mediante semáforos, cuando la luz esté en color rojo, debe detener su vehículo en la línea de “alto”, sin invadir la zona para el cruce de los peatones;</w:t>
      </w:r>
    </w:p>
    <w:p w14:paraId="11F0D7F5" w14:textId="77777777" w:rsidR="00BD5126" w:rsidRPr="000916B1" w:rsidRDefault="00BD5126" w:rsidP="00BD5126">
      <w:pPr>
        <w:autoSpaceDE w:val="0"/>
        <w:autoSpaceDN w:val="0"/>
        <w:adjustRightInd w:val="0"/>
        <w:ind w:left="708"/>
        <w:jc w:val="both"/>
        <w:rPr>
          <w:rFonts w:ascii="Century" w:hAnsi="Century" w:cs="Arial"/>
          <w:i/>
        </w:rPr>
      </w:pPr>
    </w:p>
    <w:p w14:paraId="7747CA6B" w14:textId="595F1169"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113CC537"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 xml:space="preserve">T </w:t>
      </w:r>
      <w:r w:rsidR="0041187D">
        <w:rPr>
          <w:b/>
        </w:rPr>
        <w:t>5810826 (Letra T cinco ocho uno cero ocho dos seis</w:t>
      </w:r>
      <w:r w:rsidR="00A01625" w:rsidRPr="00E1257C">
        <w:rPr>
          <w:b/>
        </w:rPr>
        <w:t xml:space="preserve">) </w:t>
      </w:r>
      <w:r w:rsidR="00A01625">
        <w:t xml:space="preserve">levanta en fecha </w:t>
      </w:r>
      <w:r w:rsidR="0041187D">
        <w:t>19 diecinueve</w:t>
      </w:r>
      <w:r w:rsidR="00A01625">
        <w:t xml:space="preserve"> de abril del año </w:t>
      </w:r>
      <w:r w:rsidR="00A01625" w:rsidRPr="00E1257C">
        <w:t>del año 201</w:t>
      </w:r>
      <w:r w:rsidR="00A01625">
        <w:t xml:space="preserve">8 dos mil dieciocho, emitida por </w:t>
      </w:r>
      <w:r w:rsidR="0008711C">
        <w:t>e</w:t>
      </w:r>
      <w:r>
        <w:t xml:space="preserve">l </w:t>
      </w:r>
      <w:r w:rsidR="00E96B06">
        <w:t>agente de tránsito municipal</w:t>
      </w:r>
      <w:r>
        <w:t>. -----------------------------------------------------------</w:t>
      </w:r>
      <w:r w:rsidR="00A01625">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2344A3D9"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 xml:space="preserve">de </w:t>
      </w:r>
      <w:r w:rsidRPr="0008711C">
        <w:rPr>
          <w:iCs/>
        </w:rPr>
        <w:t>haberse decretado la nulidad total del acta de infracción combatida, resulta procedente la devolución de</w:t>
      </w:r>
      <w:r w:rsidR="00A01625" w:rsidRPr="0008711C">
        <w:rPr>
          <w:iCs/>
        </w:rPr>
        <w:t xml:space="preserve">l documento recogido en garantía, esto es, la </w:t>
      </w:r>
      <w:r w:rsidR="00794FD9" w:rsidRPr="0008711C">
        <w:rPr>
          <w:iCs/>
        </w:rPr>
        <w:t>tarjeta de circulación vehicular</w:t>
      </w:r>
      <w:r w:rsidR="00A01625" w:rsidRPr="0008711C">
        <w:rPr>
          <w:iCs/>
        </w:rPr>
        <w:t xml:space="preserve">. </w:t>
      </w:r>
      <w:r w:rsidRPr="0008711C">
        <w:t xml:space="preserve">Por tanto, </w:t>
      </w:r>
      <w:r w:rsidR="00FD4DE4" w:rsidRPr="0008711C">
        <w:t xml:space="preserve">con fundamento en el artículo 300, fracción V, del invocado Código de Procedimiento y Justicia Administrativa; se reconoce el derecho que tiene el justiciable a la devolución de dicho </w:t>
      </w:r>
      <w:r w:rsidR="00A01625" w:rsidRPr="0008711C">
        <w:t>documento</w:t>
      </w:r>
      <w:r w:rsidR="00FD4DE4" w:rsidRPr="0008711C">
        <w:t xml:space="preserve">. </w:t>
      </w:r>
      <w:r w:rsidR="00A01625" w:rsidRPr="0008711C">
        <w:t>------------------------------------------</w:t>
      </w:r>
    </w:p>
    <w:p w14:paraId="7A5CD07C" w14:textId="77777777" w:rsidR="00FD4DE4" w:rsidRDefault="00FD4DE4" w:rsidP="00FD4DE4">
      <w:pPr>
        <w:pStyle w:val="SENTENCIAS"/>
        <w:rPr>
          <w:rFonts w:ascii="Calibri" w:hAnsi="Calibri"/>
          <w:color w:val="767171" w:themeColor="background2" w:themeShade="80"/>
          <w:sz w:val="26"/>
          <w:szCs w:val="26"/>
        </w:rPr>
      </w:pPr>
    </w:p>
    <w:p w14:paraId="0CECE825" w14:textId="08BE8080" w:rsidR="00EE4BE5" w:rsidRDefault="00FD4DE4" w:rsidP="00FD4DE4">
      <w:pPr>
        <w:pStyle w:val="RESOLUCIONES"/>
      </w:pPr>
      <w:r w:rsidRPr="00C16795">
        <w:t xml:space="preserve">Devolución que deberá realizarse dentro de los </w:t>
      </w:r>
      <w:r w:rsidR="00604B07">
        <w:t>15 quince</w:t>
      </w:r>
      <w:r w:rsidRPr="00C16795">
        <w:t xml:space="preserve"> días siguientes a aquél en que cause estado la presente resolución, por lo que se condena a la autoridad demandada a efecto de realizar las gestiones necesarias para la d</w:t>
      </w:r>
      <w:r>
        <w:t>evolución de</w:t>
      </w:r>
      <w:r w:rsidR="00EE4BE5">
        <w:t>l referido documento.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1A711A5"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 xml:space="preserve">T </w:t>
      </w:r>
      <w:r w:rsidR="0041187D">
        <w:rPr>
          <w:b/>
        </w:rPr>
        <w:t>5810826 (Letra T cinco ocho uno cero ocho dos seis</w:t>
      </w:r>
      <w:r w:rsidR="00A01625" w:rsidRPr="00E1257C">
        <w:rPr>
          <w:b/>
        </w:rPr>
        <w:t xml:space="preserve">) </w:t>
      </w:r>
      <w:r w:rsidR="004021E7">
        <w:t>de</w:t>
      </w:r>
      <w:r w:rsidR="00A01625">
        <w:t xml:space="preserve"> fecha </w:t>
      </w:r>
      <w:r w:rsidR="0041187D">
        <w:t>19 diecinueve</w:t>
      </w:r>
      <w:r w:rsidR="00A01625">
        <w:t xml:space="preserve"> de abril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3685FD2D"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recogido en garantía, </w:t>
      </w:r>
      <w:r w:rsidR="00501C31" w:rsidRPr="007D0C4C">
        <w:rPr>
          <w:rFonts w:ascii="Century" w:hAnsi="Century" w:cs="Calibri"/>
        </w:rPr>
        <w:t>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501C31">
        <w:rPr>
          <w:rFonts w:ascii="Century" w:hAnsi="Century" w:cs="Calibri"/>
        </w:rPr>
        <w:t>-------</w:t>
      </w:r>
      <w:r w:rsidR="00F378D7">
        <w:rPr>
          <w:rFonts w:ascii="Century" w:hAnsi="Century" w:cs="Calibri"/>
        </w:rPr>
        <w:t>-------------------------------------------------------------------</w:t>
      </w:r>
      <w:r w:rsidR="00501C31">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7D51" w14:textId="77777777" w:rsidR="000B0624" w:rsidRDefault="000B0624">
      <w:r>
        <w:separator/>
      </w:r>
    </w:p>
  </w:endnote>
  <w:endnote w:type="continuationSeparator" w:id="0">
    <w:p w14:paraId="3F4D6A71" w14:textId="77777777" w:rsidR="000B0624" w:rsidRDefault="000B0624">
      <w:r>
        <w:continuationSeparator/>
      </w:r>
    </w:p>
  </w:endnote>
  <w:endnote w:type="continuationNotice" w:id="1">
    <w:p w14:paraId="53028FC2" w14:textId="77777777" w:rsidR="000B0624" w:rsidRDefault="000B0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3E98B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06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062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5C68" w14:textId="77777777" w:rsidR="000B0624" w:rsidRDefault="000B0624">
      <w:r>
        <w:separator/>
      </w:r>
    </w:p>
  </w:footnote>
  <w:footnote w:type="continuationSeparator" w:id="0">
    <w:p w14:paraId="5A1D3460" w14:textId="77777777" w:rsidR="000B0624" w:rsidRDefault="000B0624">
      <w:r>
        <w:continuationSeparator/>
      </w:r>
    </w:p>
  </w:footnote>
  <w:footnote w:type="continuationNotice" w:id="1">
    <w:p w14:paraId="1E465BA0" w14:textId="77777777" w:rsidR="000B0624" w:rsidRDefault="000B06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8EC90D5" w:rsidR="002B2F1A" w:rsidRDefault="00FE41CE" w:rsidP="007F7AC8">
    <w:pPr>
      <w:pStyle w:val="Encabezado"/>
      <w:jc w:val="right"/>
    </w:pPr>
    <w:r>
      <w:rPr>
        <w:color w:val="7F7F7F" w:themeColor="text1" w:themeTint="80"/>
      </w:rPr>
      <w:t>Expediente Número 0</w:t>
    </w:r>
    <w:r w:rsidR="00111268">
      <w:rPr>
        <w:color w:val="7F7F7F" w:themeColor="text1" w:themeTint="80"/>
      </w:rPr>
      <w:t>8</w:t>
    </w:r>
    <w:r w:rsidR="00D67159">
      <w:rPr>
        <w:color w:val="7F7F7F" w:themeColor="text1" w:themeTint="80"/>
      </w:rPr>
      <w:t>8</w:t>
    </w:r>
    <w:r w:rsidR="00AD6931">
      <w:rPr>
        <w:color w:val="7F7F7F" w:themeColor="text1" w:themeTint="80"/>
      </w:rPr>
      <w:t>5</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3E72E69"/>
    <w:multiLevelType w:val="hybridMultilevel"/>
    <w:tmpl w:val="4B6CEC06"/>
    <w:lvl w:ilvl="0" w:tplc="0430E614">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0"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E3C01"/>
    <w:multiLevelType w:val="multilevel"/>
    <w:tmpl w:val="E2929B38"/>
    <w:numStyleLink w:val="Estilo4"/>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0C228A"/>
    <w:multiLevelType w:val="multilevel"/>
    <w:tmpl w:val="7BEC9978"/>
    <w:numStyleLink w:val="Estilo3"/>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4"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28"/>
  </w:num>
  <w:num w:numId="3">
    <w:abstractNumId w:val="18"/>
  </w:num>
  <w:num w:numId="4">
    <w:abstractNumId w:val="6"/>
  </w:num>
  <w:num w:numId="5">
    <w:abstractNumId w:val="0"/>
  </w:num>
  <w:num w:numId="6">
    <w:abstractNumId w:val="2"/>
  </w:num>
  <w:num w:numId="7">
    <w:abstractNumId w:val="13"/>
  </w:num>
  <w:num w:numId="8">
    <w:abstractNumId w:val="29"/>
  </w:num>
  <w:num w:numId="9">
    <w:abstractNumId w:val="32"/>
  </w:num>
  <w:num w:numId="10">
    <w:abstractNumId w:val="17"/>
  </w:num>
  <w:num w:numId="11">
    <w:abstractNumId w:val="4"/>
  </w:num>
  <w:num w:numId="12">
    <w:abstractNumId w:val="26"/>
  </w:num>
  <w:num w:numId="13">
    <w:abstractNumId w:val="5"/>
  </w:num>
  <w:num w:numId="14">
    <w:abstractNumId w:val="24"/>
  </w:num>
  <w:num w:numId="15">
    <w:abstractNumId w:val="23"/>
  </w:num>
  <w:num w:numId="16">
    <w:abstractNumId w:val="14"/>
  </w:num>
  <w:num w:numId="17">
    <w:abstractNumId w:val="11"/>
  </w:num>
  <w:num w:numId="18">
    <w:abstractNumId w:val="10"/>
  </w:num>
  <w:num w:numId="19">
    <w:abstractNumId w:val="12"/>
  </w:num>
  <w:num w:numId="20">
    <w:abstractNumId w:val="20"/>
  </w:num>
  <w:num w:numId="21">
    <w:abstractNumId w:val="25"/>
  </w:num>
  <w:num w:numId="22">
    <w:abstractNumId w:val="21"/>
  </w:num>
  <w:num w:numId="23">
    <w:abstractNumId w:val="30"/>
  </w:num>
  <w:num w:numId="24">
    <w:abstractNumId w:val="1"/>
  </w:num>
  <w:num w:numId="25">
    <w:abstractNumId w:val="19"/>
  </w:num>
  <w:num w:numId="26">
    <w:abstractNumId w:val="27"/>
  </w:num>
  <w:num w:numId="27">
    <w:abstractNumId w:val="31"/>
  </w:num>
  <w:num w:numId="28">
    <w:abstractNumId w:val="33"/>
  </w:num>
  <w:num w:numId="29">
    <w:abstractNumId w:val="22"/>
    <w:lvlOverride w:ilvl="0">
      <w:lvl w:ilvl="0">
        <w:start w:val="1"/>
        <w:numFmt w:val="lowerLetter"/>
        <w:lvlText w:val="%1)"/>
        <w:lvlJc w:val="left"/>
        <w:pPr>
          <w:ind w:left="1068" w:hanging="360"/>
        </w:pPr>
        <w:rPr>
          <w:b/>
        </w:rPr>
      </w:lvl>
    </w:lvlOverride>
  </w:num>
  <w:num w:numId="30">
    <w:abstractNumId w:val="15"/>
    <w:lvlOverride w:ilvl="0">
      <w:lvl w:ilvl="0">
        <w:start w:val="1"/>
        <w:numFmt w:val="upperRoman"/>
        <w:lvlText w:val="%1."/>
        <w:lvlJc w:val="left"/>
        <w:pPr>
          <w:ind w:left="1068" w:hanging="360"/>
        </w:pPr>
        <w:rPr>
          <w:b/>
          <w:bCs/>
        </w:rPr>
      </w:lvl>
    </w:lvlOverride>
  </w:num>
  <w:num w:numId="31">
    <w:abstractNumId w:val="3"/>
  </w:num>
  <w:num w:numId="32">
    <w:abstractNumId w:val="34"/>
  </w:num>
  <w:num w:numId="33">
    <w:abstractNumId w:val="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F5C"/>
    <w:rsid w:val="000A5412"/>
    <w:rsid w:val="000A6D67"/>
    <w:rsid w:val="000B0624"/>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40EE"/>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0A7D"/>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F185D"/>
    <w:rsid w:val="006F411B"/>
    <w:rsid w:val="006F45AA"/>
    <w:rsid w:val="00701194"/>
    <w:rsid w:val="00702637"/>
    <w:rsid w:val="00703E0D"/>
    <w:rsid w:val="0070445B"/>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5E89"/>
    <w:rsid w:val="00747098"/>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554D"/>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D6931"/>
    <w:rsid w:val="00AE5576"/>
    <w:rsid w:val="00AE575F"/>
    <w:rsid w:val="00AF1C92"/>
    <w:rsid w:val="00AF2D5F"/>
    <w:rsid w:val="00AF3AB7"/>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A33B-E83E-412C-AB30-519696CF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3562</Words>
  <Characters>19595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2018-10-30T15:34:00Z</dcterms:created>
  <dcterms:modified xsi:type="dcterms:W3CDTF">2018-10-30T15:34:00Z</dcterms:modified>
</cp:coreProperties>
</file>